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33D" w:rsidRDefault="00E830E6">
      <w:pPr>
        <w:spacing w:line="4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 xml:space="preserve">3       </w:t>
      </w:r>
    </w:p>
    <w:p w:rsidR="0086033D" w:rsidRDefault="00E830E6" w:rsidP="005869DA">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86033D" w:rsidRDefault="00E830E6" w:rsidP="005869DA">
      <w:pPr>
        <w:spacing w:line="480" w:lineRule="exact"/>
        <w:jc w:val="center"/>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2021</w:t>
      </w:r>
      <w:r>
        <w:rPr>
          <w:rFonts w:ascii="仿宋_GB2312" w:eastAsia="仿宋_GB2312" w:hAnsi="宋体" w:hint="eastAsia"/>
          <w:sz w:val="28"/>
          <w:szCs w:val="28"/>
        </w:rPr>
        <w:t>年度）</w:t>
      </w:r>
    </w:p>
    <w:p w:rsidR="0086033D" w:rsidRDefault="0086033D">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420"/>
        <w:gridCol w:w="300"/>
        <w:gridCol w:w="546"/>
        <w:gridCol w:w="710"/>
      </w:tblGrid>
      <w:tr w:rsidR="0086033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法院办案业务费</w:t>
            </w:r>
          </w:p>
        </w:tc>
      </w:tr>
      <w:tr w:rsidR="0086033D">
        <w:trPr>
          <w:trHeight w:hRule="exact" w:val="461"/>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北京市延庆区人民法院</w:t>
            </w:r>
          </w:p>
        </w:tc>
        <w:tc>
          <w:tcPr>
            <w:tcW w:w="1127"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北京市</w:t>
            </w:r>
            <w:r>
              <w:rPr>
                <w:rFonts w:ascii="仿宋_GB2312" w:eastAsia="仿宋_GB2312" w:hAnsi="宋体" w:cs="宋体"/>
                <w:kern w:val="0"/>
                <w:szCs w:val="21"/>
              </w:rPr>
              <w:t>延庆</w:t>
            </w:r>
            <w:r>
              <w:rPr>
                <w:rFonts w:ascii="仿宋_GB2312" w:eastAsia="仿宋_GB2312" w:hAnsi="宋体" w:cs="宋体" w:hint="eastAsia"/>
                <w:kern w:val="0"/>
                <w:szCs w:val="21"/>
              </w:rPr>
              <w:t>区人民法院</w:t>
            </w:r>
          </w:p>
        </w:tc>
      </w:tr>
      <w:tr w:rsidR="0086033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赵焕春</w:t>
            </w:r>
          </w:p>
        </w:tc>
        <w:tc>
          <w:tcPr>
            <w:tcW w:w="1127"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61115305</w:t>
            </w:r>
          </w:p>
        </w:tc>
      </w:tr>
      <w:tr w:rsidR="0086033D">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86033D">
        <w:trPr>
          <w:trHeight w:hRule="exact" w:val="429"/>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noWrap/>
            <w:vAlign w:val="center"/>
          </w:tcPr>
          <w:p w:rsidR="0086033D" w:rsidRDefault="00E830E6">
            <w:pPr>
              <w:widowControl/>
              <w:spacing w:line="240" w:lineRule="exact"/>
              <w:jc w:val="right"/>
              <w:rPr>
                <w:rFonts w:ascii="仿宋_GB2312" w:eastAsia="仿宋_GB2312" w:hAnsi="宋体" w:cs="宋体"/>
                <w:kern w:val="0"/>
                <w:sz w:val="18"/>
                <w:szCs w:val="18"/>
              </w:rPr>
            </w:pPr>
            <w:r>
              <w:rPr>
                <w:rFonts w:ascii="仿宋_GB2312" w:eastAsia="仿宋_GB2312" w:hint="eastAsia"/>
                <w:color w:val="000000"/>
              </w:rPr>
              <w:t>158.678024</w:t>
            </w:r>
          </w:p>
        </w:tc>
        <w:tc>
          <w:tcPr>
            <w:tcW w:w="1132"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right"/>
              <w:rPr>
                <w:rFonts w:ascii="仿宋_GB2312" w:eastAsia="仿宋_GB2312" w:hAnsi="宋体" w:cs="宋体"/>
                <w:kern w:val="0"/>
                <w:sz w:val="18"/>
                <w:szCs w:val="18"/>
              </w:rPr>
            </w:pPr>
            <w:r>
              <w:rPr>
                <w:rFonts w:ascii="仿宋_GB2312" w:eastAsia="仿宋_GB2312" w:hint="eastAsia"/>
                <w:color w:val="000000"/>
              </w:rPr>
              <w:t>158.678024</w:t>
            </w:r>
          </w:p>
        </w:tc>
        <w:tc>
          <w:tcPr>
            <w:tcW w:w="1127"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right"/>
              <w:rPr>
                <w:rFonts w:ascii="仿宋_GB2312" w:eastAsia="仿宋_GB2312" w:hAnsi="宋体" w:cs="宋体"/>
                <w:kern w:val="0"/>
                <w:sz w:val="18"/>
                <w:szCs w:val="18"/>
              </w:rPr>
            </w:pPr>
            <w:r>
              <w:rPr>
                <w:rFonts w:ascii="仿宋_GB2312" w:eastAsia="仿宋_GB2312" w:hint="eastAsia"/>
                <w:color w:val="000000"/>
              </w:rPr>
              <w:t>158.678024</w:t>
            </w:r>
          </w:p>
        </w:tc>
        <w:tc>
          <w:tcPr>
            <w:tcW w:w="704"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846"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10" w:type="dxa"/>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r>
      <w:tr w:rsidR="0086033D">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noWrap/>
            <w:vAlign w:val="center"/>
          </w:tcPr>
          <w:p w:rsidR="0086033D" w:rsidRDefault="00E830E6">
            <w:pPr>
              <w:jc w:val="right"/>
              <w:rPr>
                <w:rFonts w:ascii="仿宋_GB2312" w:eastAsia="仿宋_GB2312" w:hAnsi="宋体" w:cs="宋体"/>
                <w:color w:val="000000"/>
                <w:sz w:val="24"/>
              </w:rPr>
            </w:pPr>
            <w:r>
              <w:rPr>
                <w:rFonts w:ascii="仿宋_GB2312" w:eastAsia="仿宋_GB2312" w:hint="eastAsia"/>
                <w:color w:val="000000"/>
              </w:rPr>
              <w:t>158.678024</w:t>
            </w:r>
          </w:p>
          <w:p w:rsidR="0086033D" w:rsidRDefault="0086033D">
            <w:pPr>
              <w:widowControl/>
              <w:spacing w:line="240" w:lineRule="exact"/>
              <w:jc w:val="right"/>
              <w:rPr>
                <w:rFonts w:ascii="仿宋_GB2312" w:eastAsia="仿宋_GB2312" w:hAnsi="宋体" w:cs="宋体"/>
                <w:kern w:val="0"/>
                <w:sz w:val="18"/>
                <w:szCs w:val="18"/>
              </w:rPr>
            </w:pPr>
          </w:p>
        </w:tc>
        <w:tc>
          <w:tcPr>
            <w:tcW w:w="1132"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right"/>
              <w:rPr>
                <w:rFonts w:ascii="仿宋_GB2312" w:eastAsia="仿宋_GB2312" w:hAnsi="宋体" w:cs="宋体"/>
                <w:kern w:val="0"/>
                <w:sz w:val="18"/>
                <w:szCs w:val="18"/>
              </w:rPr>
            </w:pPr>
            <w:r>
              <w:rPr>
                <w:rFonts w:ascii="仿宋_GB2312" w:eastAsia="仿宋_GB2312" w:hint="eastAsia"/>
                <w:color w:val="000000"/>
              </w:rPr>
              <w:t>158.678024</w:t>
            </w:r>
          </w:p>
        </w:tc>
        <w:tc>
          <w:tcPr>
            <w:tcW w:w="1127"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right"/>
              <w:rPr>
                <w:rFonts w:ascii="仿宋_GB2312" w:eastAsia="仿宋_GB2312" w:hAnsi="宋体" w:cs="宋体"/>
                <w:kern w:val="0"/>
                <w:sz w:val="18"/>
                <w:szCs w:val="18"/>
              </w:rPr>
            </w:pPr>
            <w:r>
              <w:rPr>
                <w:rFonts w:ascii="仿宋_GB2312" w:eastAsia="仿宋_GB2312" w:hint="eastAsia"/>
                <w:color w:val="000000"/>
              </w:rPr>
              <w:t>158.678024</w:t>
            </w:r>
          </w:p>
        </w:tc>
        <w:tc>
          <w:tcPr>
            <w:tcW w:w="704"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846"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10" w:type="dxa"/>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r>
      <w:tr w:rsidR="0086033D">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noWrap/>
            <w:vAlign w:val="center"/>
          </w:tcPr>
          <w:p w:rsidR="0086033D" w:rsidRDefault="0086033D">
            <w:pPr>
              <w:widowControl/>
              <w:spacing w:line="240" w:lineRule="exact"/>
              <w:jc w:val="right"/>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86033D" w:rsidRDefault="0086033D">
            <w:pPr>
              <w:widowControl/>
              <w:spacing w:line="240" w:lineRule="exact"/>
              <w:jc w:val="right"/>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86033D" w:rsidRDefault="0086033D">
            <w:pPr>
              <w:widowControl/>
              <w:spacing w:line="240" w:lineRule="exact"/>
              <w:jc w:val="right"/>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6033D">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noWrap/>
            <w:vAlign w:val="center"/>
          </w:tcPr>
          <w:p w:rsidR="0086033D" w:rsidRDefault="0086033D">
            <w:pPr>
              <w:widowControl/>
              <w:spacing w:line="240" w:lineRule="exact"/>
              <w:jc w:val="right"/>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noWrap/>
            <w:vAlign w:val="center"/>
          </w:tcPr>
          <w:p w:rsidR="0086033D" w:rsidRDefault="0086033D">
            <w:pPr>
              <w:widowControl/>
              <w:spacing w:line="240" w:lineRule="exact"/>
              <w:jc w:val="right"/>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86033D" w:rsidRDefault="0086033D">
            <w:pPr>
              <w:widowControl/>
              <w:spacing w:line="240" w:lineRule="exact"/>
              <w:jc w:val="right"/>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6033D">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86033D">
        <w:trPr>
          <w:trHeight w:hRule="exact" w:val="2571"/>
          <w:jc w:val="center"/>
        </w:trPr>
        <w:tc>
          <w:tcPr>
            <w:tcW w:w="585" w:type="dxa"/>
            <w:vMerge/>
            <w:tcBorders>
              <w:top w:val="nil"/>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全面依法履行审判职能，积极稳妥的落实司法改革任务，积极回应人民群众对推进法治建设、维护司法公正的期待，坚持司法为民、公正司法，努力让人民群众在每一个司法案件中都感受到公平正义。切实发挥审判业务经费使用效益，努力发挥人民法院在践行社会主义核心价值观和全面深化改革中的职能作用，为区域经济持续健康发展和社会和谐稳定提供有力的司法服务和保障。根据财政部及最高人民法院联合下发的《人民法院业务费开支范围》的要求，按照业务费支出范围，协助办案费等与审判执行业务有关开支</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保障审判执行业务顺利高效开展。</w:t>
            </w:r>
          </w:p>
        </w:tc>
        <w:tc>
          <w:tcPr>
            <w:tcW w:w="3387" w:type="dxa"/>
            <w:gridSpan w:val="7"/>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全面依法履行审判职能</w:t>
            </w:r>
            <w:r>
              <w:rPr>
                <w:rFonts w:ascii="仿宋_GB2312" w:eastAsia="仿宋_GB2312" w:hAnsi="宋体" w:cs="宋体" w:hint="eastAsia"/>
                <w:kern w:val="0"/>
                <w:sz w:val="18"/>
                <w:szCs w:val="18"/>
              </w:rPr>
              <w:t>，积极稳妥的落实司法改革任务，积极回应人民群众对推进法治建设、维护司法公正的期待，切实发挥审判业务经费使用效益，努力发挥人民法院在践行社会主义核心价值观和全面深化改革中的职能作用，为区域经济持续健康发展和社会和谐稳定提供有力的司法服务和保障。</w:t>
            </w:r>
          </w:p>
        </w:tc>
      </w:tr>
      <w:tr w:rsidR="0086033D">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86033D">
        <w:trPr>
          <w:trHeight w:hRule="exact" w:val="42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收案数量</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16000</w:t>
            </w:r>
            <w:r>
              <w:rPr>
                <w:rFonts w:ascii="仿宋_GB2312" w:eastAsia="仿宋_GB2312" w:hAnsi="宋体" w:cs="宋体" w:hint="eastAsia"/>
                <w:kern w:val="0"/>
                <w:sz w:val="18"/>
                <w:szCs w:val="18"/>
              </w:rPr>
              <w:t>件</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18000</w:t>
            </w:r>
            <w:r>
              <w:rPr>
                <w:rFonts w:ascii="仿宋_GB2312" w:eastAsia="仿宋_GB2312" w:hAnsi="宋体" w:cs="宋体" w:hint="eastAsia"/>
                <w:kern w:val="0"/>
                <w:sz w:val="18"/>
                <w:szCs w:val="18"/>
              </w:rPr>
              <w:t>件</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438"/>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结案数量</w:t>
            </w:r>
            <w:bookmarkStart w:id="0" w:name="_GoBack"/>
            <w:bookmarkEnd w:id="0"/>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16000</w:t>
            </w:r>
            <w:r>
              <w:rPr>
                <w:rFonts w:ascii="仿宋_GB2312" w:eastAsia="仿宋_GB2312" w:hAnsi="宋体" w:cs="宋体" w:hint="eastAsia"/>
                <w:kern w:val="0"/>
                <w:sz w:val="18"/>
                <w:szCs w:val="18"/>
              </w:rPr>
              <w:t>件</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17458</w:t>
            </w:r>
            <w:r>
              <w:rPr>
                <w:rFonts w:ascii="仿宋_GB2312" w:eastAsia="仿宋_GB2312" w:hAnsi="宋体" w:cs="宋体" w:hint="eastAsia"/>
                <w:kern w:val="0"/>
                <w:sz w:val="18"/>
                <w:szCs w:val="18"/>
              </w:rPr>
              <w:t>件</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424"/>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结收比</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Cs w:val="21"/>
              </w:rPr>
              <w:t>≥</w:t>
            </w:r>
            <w:r>
              <w:rPr>
                <w:rFonts w:ascii="仿宋_GB2312" w:eastAsia="仿宋_GB2312" w:hAnsi="宋体" w:cs="宋体" w:hint="eastAsia"/>
                <w:kern w:val="0"/>
                <w:szCs w:val="21"/>
              </w:rPr>
              <w:t>99%</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ind w:firstLineChars="100" w:firstLine="180"/>
              <w:rPr>
                <w:rFonts w:ascii="仿宋_GB2312" w:eastAsia="仿宋_GB2312" w:hAnsi="宋体" w:cs="宋体"/>
                <w:kern w:val="0"/>
                <w:sz w:val="18"/>
                <w:szCs w:val="18"/>
              </w:rPr>
            </w:pP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44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电子送达率</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大于</w:t>
            </w:r>
            <w:r>
              <w:rPr>
                <w:rFonts w:ascii="仿宋_GB2312" w:eastAsia="仿宋_GB2312" w:hAnsi="宋体" w:cs="宋体" w:hint="eastAsia"/>
                <w:kern w:val="0"/>
                <w:sz w:val="18"/>
                <w:szCs w:val="18"/>
              </w:rPr>
              <w:t>30</w:t>
            </w:r>
            <w:r>
              <w:rPr>
                <w:rFonts w:ascii="仿宋_GB2312" w:eastAsia="仿宋_GB2312" w:hAnsi="宋体" w:cs="宋体" w:hint="eastAsia"/>
                <w:kern w:val="0"/>
                <w:sz w:val="18"/>
                <w:szCs w:val="18"/>
              </w:rPr>
              <w:t>%</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12.66%</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44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一审案件服判息诉率</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90%</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90.48%</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44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改判发回率</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小于</w:t>
            </w:r>
            <w:r>
              <w:rPr>
                <w:rFonts w:ascii="仿宋_GB2312" w:eastAsia="仿宋_GB2312" w:hAnsi="宋体" w:cs="宋体" w:hint="eastAsia"/>
                <w:kern w:val="0"/>
                <w:sz w:val="18"/>
                <w:szCs w:val="18"/>
              </w:rPr>
              <w:t>0.4</w:t>
            </w:r>
            <w:r>
              <w:rPr>
                <w:rFonts w:ascii="仿宋_GB2312" w:eastAsia="仿宋_GB2312" w:hAnsi="宋体" w:cs="宋体" w:hint="eastAsia"/>
                <w:kern w:val="0"/>
                <w:sz w:val="18"/>
                <w:szCs w:val="18"/>
              </w:rPr>
              <w:t>%</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0.67</w:t>
            </w:r>
            <w:r>
              <w:rPr>
                <w:rFonts w:ascii="仿宋_GB2312" w:eastAsia="仿宋_GB2312" w:hAnsi="宋体" w:cs="宋体" w:hint="eastAsia"/>
                <w:kern w:val="0"/>
                <w:sz w:val="18"/>
                <w:szCs w:val="18"/>
              </w:rPr>
              <w:t>%</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605"/>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裁判文书公开情况（除非公开案件）</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1178"/>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年度预算执行率</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70</w:t>
            </w:r>
            <w:r>
              <w:rPr>
                <w:rFonts w:ascii="仿宋_GB2312" w:eastAsia="仿宋_GB2312" w:hAnsi="宋体" w:cs="宋体" w:hint="eastAsia"/>
                <w:kern w:val="0"/>
                <w:sz w:val="18"/>
                <w:szCs w:val="18"/>
              </w:rPr>
              <w:t>%</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742"/>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不超年初预算</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158.678024</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158.678024</w:t>
            </w:r>
          </w:p>
          <w:p w:rsidR="0086033D" w:rsidRDefault="0086033D">
            <w:pPr>
              <w:widowControl/>
              <w:spacing w:line="240" w:lineRule="exact"/>
              <w:jc w:val="center"/>
              <w:rPr>
                <w:rFonts w:ascii="仿宋_GB2312" w:eastAsia="仿宋_GB2312" w:hAnsi="宋体" w:cs="宋体"/>
                <w:kern w:val="0"/>
                <w:sz w:val="18"/>
                <w:szCs w:val="18"/>
              </w:rPr>
            </w:pP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99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维护社会稳定</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首都治安结案件</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首都治安结案件</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指标值需进一步明确</w:t>
            </w:r>
          </w:p>
        </w:tc>
      </w:tr>
      <w:tr w:rsidR="0086033D">
        <w:trPr>
          <w:trHeight w:hRule="exact" w:val="125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支持经济发展</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脱贫攻坚及营商环境结案件</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脱贫攻坚及营商环境结案件</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指标值需进一步明确</w:t>
            </w:r>
          </w:p>
        </w:tc>
      </w:tr>
      <w:tr w:rsidR="0086033D">
        <w:trPr>
          <w:trHeight w:hRule="exact" w:val="993"/>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及时审结案件，充分保障公民、法人的合法权益</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解决执行难执结案件件</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color w:val="000000"/>
                <w:kern w:val="0"/>
                <w:sz w:val="18"/>
                <w:szCs w:val="18"/>
              </w:rPr>
              <w:t>解决执行难执结案件件</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指标值需进一步明确</w:t>
            </w:r>
          </w:p>
        </w:tc>
      </w:tr>
      <w:tr w:rsidR="0086033D">
        <w:trPr>
          <w:trHeight w:hRule="exact" w:val="1537"/>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围绕优化营商环境重点工作，举办服务优化营商环境工作专项培训会、征求意见会、推进会，优化窗口服务环境，积极营造法治化、便利化营商环境</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经济社会秩序持续向好</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经济社会秩序持续向好</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未见相关资料</w:t>
            </w:r>
          </w:p>
        </w:tc>
      </w:tr>
      <w:tr w:rsidR="0086033D">
        <w:trPr>
          <w:trHeight w:hRule="exact" w:val="801"/>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val="restart"/>
            <w:tcBorders>
              <w:left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诉讼服务当事人满意度</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95%</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96.2%</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 w:val="18"/>
                <w:szCs w:val="18"/>
              </w:rPr>
            </w:pPr>
          </w:p>
        </w:tc>
      </w:tr>
      <w:tr w:rsidR="0086033D">
        <w:trPr>
          <w:trHeight w:hRule="exact" w:val="789"/>
          <w:jc w:val="center"/>
        </w:trPr>
        <w:tc>
          <w:tcPr>
            <w:tcW w:w="585" w:type="dxa"/>
            <w:vMerge/>
            <w:tcBorders>
              <w:top w:val="single" w:sz="4" w:space="0" w:color="auto"/>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工作报告获同级人民代表大会通过、赞成率</w:t>
            </w:r>
          </w:p>
        </w:tc>
        <w:tc>
          <w:tcPr>
            <w:tcW w:w="849"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100</w:t>
            </w:r>
            <w:r>
              <w:rPr>
                <w:rFonts w:ascii="仿宋_GB2312" w:eastAsia="仿宋_GB2312" w:hAnsi="宋体" w:cs="宋体" w:hint="eastAsia"/>
                <w:color w:val="000000"/>
                <w:kern w:val="0"/>
                <w:sz w:val="18"/>
                <w:szCs w:val="18"/>
              </w:rPr>
              <w:t>%</w:t>
            </w:r>
          </w:p>
        </w:tc>
        <w:tc>
          <w:tcPr>
            <w:tcW w:w="848" w:type="dxa"/>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100%</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5</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5</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color w:val="000000"/>
                <w:kern w:val="0"/>
                <w:sz w:val="18"/>
                <w:szCs w:val="18"/>
              </w:rPr>
            </w:pPr>
          </w:p>
        </w:tc>
      </w:tr>
      <w:tr w:rsidR="0086033D">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100</w:t>
            </w:r>
          </w:p>
        </w:tc>
        <w:tc>
          <w:tcPr>
            <w:tcW w:w="720" w:type="dxa"/>
            <w:gridSpan w:val="2"/>
            <w:tcBorders>
              <w:top w:val="single" w:sz="4" w:space="0" w:color="auto"/>
              <w:left w:val="nil"/>
              <w:bottom w:val="single" w:sz="4" w:space="0" w:color="auto"/>
              <w:right w:val="single" w:sz="4" w:space="0" w:color="auto"/>
            </w:tcBorders>
            <w:noWrap/>
            <w:vAlign w:val="center"/>
          </w:tcPr>
          <w:p w:rsidR="0086033D" w:rsidRDefault="00E830E6">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89</w:t>
            </w:r>
          </w:p>
        </w:tc>
        <w:tc>
          <w:tcPr>
            <w:tcW w:w="1256" w:type="dxa"/>
            <w:gridSpan w:val="2"/>
            <w:tcBorders>
              <w:top w:val="single" w:sz="4" w:space="0" w:color="auto"/>
              <w:left w:val="nil"/>
              <w:bottom w:val="single" w:sz="4" w:space="0" w:color="auto"/>
              <w:right w:val="single" w:sz="4" w:space="0" w:color="auto"/>
            </w:tcBorders>
            <w:noWrap/>
            <w:vAlign w:val="center"/>
          </w:tcPr>
          <w:p w:rsidR="0086033D" w:rsidRDefault="0086033D">
            <w:pPr>
              <w:widowControl/>
              <w:spacing w:line="240" w:lineRule="exact"/>
              <w:jc w:val="center"/>
              <w:rPr>
                <w:rFonts w:ascii="仿宋_GB2312" w:eastAsia="仿宋_GB2312" w:hAnsi="宋体" w:cs="宋体"/>
                <w:kern w:val="0"/>
                <w:szCs w:val="21"/>
              </w:rPr>
            </w:pPr>
          </w:p>
        </w:tc>
      </w:tr>
    </w:tbl>
    <w:p w:rsidR="0086033D" w:rsidRDefault="0086033D">
      <w:pPr>
        <w:rPr>
          <w:rFonts w:ascii="仿宋_GB2312" w:eastAsia="仿宋_GB2312"/>
          <w:vanish/>
          <w:sz w:val="32"/>
          <w:szCs w:val="32"/>
        </w:rPr>
      </w:pPr>
    </w:p>
    <w:p w:rsidR="0086033D" w:rsidRDefault="0086033D">
      <w:pPr>
        <w:widowControl/>
        <w:jc w:val="left"/>
        <w:rPr>
          <w:rFonts w:ascii="仿宋_GB2312" w:eastAsia="仿宋_GB2312" w:hAnsi="宋体" w:cs="宋体"/>
          <w:color w:val="000000"/>
          <w:kern w:val="0"/>
          <w:sz w:val="32"/>
          <w:szCs w:val="32"/>
        </w:rPr>
      </w:pPr>
    </w:p>
    <w:sectPr w:rsidR="0086033D" w:rsidSect="0086033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0E6" w:rsidRDefault="00E830E6" w:rsidP="005869DA">
      <w:r>
        <w:separator/>
      </w:r>
    </w:p>
  </w:endnote>
  <w:endnote w:type="continuationSeparator" w:id="1">
    <w:p w:rsidR="00E830E6" w:rsidRDefault="00E830E6" w:rsidP="005869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0E6" w:rsidRDefault="00E830E6" w:rsidP="005869DA">
      <w:r>
        <w:separator/>
      </w:r>
    </w:p>
  </w:footnote>
  <w:footnote w:type="continuationSeparator" w:id="1">
    <w:p w:rsidR="00E830E6" w:rsidRDefault="00E830E6" w:rsidP="005869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WQxNDdhMjBiZmM4NmI4MGM0MzRlZTUwMDUyZjkxYzcifQ=="/>
  </w:docVars>
  <w:rsids>
    <w:rsidRoot w:val="00512C82"/>
    <w:rsid w:val="AF7B403B"/>
    <w:rsid w:val="BF7BEDE7"/>
    <w:rsid w:val="BFA5654E"/>
    <w:rsid w:val="E79B33F2"/>
    <w:rsid w:val="EDFF228D"/>
    <w:rsid w:val="EFFB7CF8"/>
    <w:rsid w:val="FDDF8BAF"/>
    <w:rsid w:val="FFFC053C"/>
    <w:rsid w:val="00023B8A"/>
    <w:rsid w:val="000309E4"/>
    <w:rsid w:val="00082CE6"/>
    <w:rsid w:val="00096DC3"/>
    <w:rsid w:val="00106F71"/>
    <w:rsid w:val="00170F79"/>
    <w:rsid w:val="00186199"/>
    <w:rsid w:val="001F5955"/>
    <w:rsid w:val="00223CBE"/>
    <w:rsid w:val="0023073F"/>
    <w:rsid w:val="00266F0D"/>
    <w:rsid w:val="00285077"/>
    <w:rsid w:val="002B7644"/>
    <w:rsid w:val="002D14BF"/>
    <w:rsid w:val="002E6D5D"/>
    <w:rsid w:val="002E7134"/>
    <w:rsid w:val="003227D2"/>
    <w:rsid w:val="003435ED"/>
    <w:rsid w:val="00356578"/>
    <w:rsid w:val="00364F1A"/>
    <w:rsid w:val="003778EF"/>
    <w:rsid w:val="0038146E"/>
    <w:rsid w:val="0039693A"/>
    <w:rsid w:val="0045622B"/>
    <w:rsid w:val="0049581B"/>
    <w:rsid w:val="004F0660"/>
    <w:rsid w:val="00512C82"/>
    <w:rsid w:val="00513900"/>
    <w:rsid w:val="005869DA"/>
    <w:rsid w:val="005A0863"/>
    <w:rsid w:val="005B1CE0"/>
    <w:rsid w:val="005B7F11"/>
    <w:rsid w:val="005E7A20"/>
    <w:rsid w:val="0064003E"/>
    <w:rsid w:val="0066051C"/>
    <w:rsid w:val="00666AE4"/>
    <w:rsid w:val="006E14D3"/>
    <w:rsid w:val="0078436B"/>
    <w:rsid w:val="007A1BD7"/>
    <w:rsid w:val="007A4C7F"/>
    <w:rsid w:val="00831BB2"/>
    <w:rsid w:val="0086033D"/>
    <w:rsid w:val="00882944"/>
    <w:rsid w:val="008A2E3A"/>
    <w:rsid w:val="008D4D0F"/>
    <w:rsid w:val="008E5797"/>
    <w:rsid w:val="008E72AB"/>
    <w:rsid w:val="00931562"/>
    <w:rsid w:val="009444E8"/>
    <w:rsid w:val="00955894"/>
    <w:rsid w:val="00995A71"/>
    <w:rsid w:val="00A50B36"/>
    <w:rsid w:val="00AF25F0"/>
    <w:rsid w:val="00B335EA"/>
    <w:rsid w:val="00CA5A0E"/>
    <w:rsid w:val="00CE49C2"/>
    <w:rsid w:val="00D65B38"/>
    <w:rsid w:val="00E57737"/>
    <w:rsid w:val="00E830E6"/>
    <w:rsid w:val="00EC2D90"/>
    <w:rsid w:val="00EE79A1"/>
    <w:rsid w:val="00F27047"/>
    <w:rsid w:val="00F47166"/>
    <w:rsid w:val="00FD0F13"/>
    <w:rsid w:val="00FF7B3B"/>
    <w:rsid w:val="01D10956"/>
    <w:rsid w:val="046A7A3F"/>
    <w:rsid w:val="04D64B08"/>
    <w:rsid w:val="06E835CE"/>
    <w:rsid w:val="0B18116E"/>
    <w:rsid w:val="0CA15246"/>
    <w:rsid w:val="120E595A"/>
    <w:rsid w:val="12C876E0"/>
    <w:rsid w:val="15E254E9"/>
    <w:rsid w:val="175555FD"/>
    <w:rsid w:val="188154FD"/>
    <w:rsid w:val="19243981"/>
    <w:rsid w:val="19281278"/>
    <w:rsid w:val="19784E2D"/>
    <w:rsid w:val="1B1F34C3"/>
    <w:rsid w:val="1C7E6497"/>
    <w:rsid w:val="1D787B25"/>
    <w:rsid w:val="1ED05EE8"/>
    <w:rsid w:val="20230779"/>
    <w:rsid w:val="208F2261"/>
    <w:rsid w:val="21A15486"/>
    <w:rsid w:val="221D5B1C"/>
    <w:rsid w:val="247A7D77"/>
    <w:rsid w:val="27466AC1"/>
    <w:rsid w:val="2BF039BB"/>
    <w:rsid w:val="2E6B583A"/>
    <w:rsid w:val="2FBB4950"/>
    <w:rsid w:val="308949D7"/>
    <w:rsid w:val="32941F97"/>
    <w:rsid w:val="333B4EE9"/>
    <w:rsid w:val="35044605"/>
    <w:rsid w:val="36881AED"/>
    <w:rsid w:val="36B42F0B"/>
    <w:rsid w:val="36F97CA6"/>
    <w:rsid w:val="374F031E"/>
    <w:rsid w:val="380F4F10"/>
    <w:rsid w:val="390B1F33"/>
    <w:rsid w:val="3EF43A84"/>
    <w:rsid w:val="3FFF8807"/>
    <w:rsid w:val="42A04D7A"/>
    <w:rsid w:val="43740EDC"/>
    <w:rsid w:val="44122655"/>
    <w:rsid w:val="45905E71"/>
    <w:rsid w:val="4687715A"/>
    <w:rsid w:val="46B318DB"/>
    <w:rsid w:val="47636CE8"/>
    <w:rsid w:val="47E13995"/>
    <w:rsid w:val="47FE4EE5"/>
    <w:rsid w:val="48400787"/>
    <w:rsid w:val="4A84050F"/>
    <w:rsid w:val="4B4D3B85"/>
    <w:rsid w:val="4B6E5B03"/>
    <w:rsid w:val="4E2B3269"/>
    <w:rsid w:val="4E373B58"/>
    <w:rsid w:val="4E7308C8"/>
    <w:rsid w:val="4EF90C94"/>
    <w:rsid w:val="515C10B7"/>
    <w:rsid w:val="51E03F3F"/>
    <w:rsid w:val="559B3D32"/>
    <w:rsid w:val="5C700D13"/>
    <w:rsid w:val="5CED8D2E"/>
    <w:rsid w:val="5D337CE0"/>
    <w:rsid w:val="5D7F43A4"/>
    <w:rsid w:val="61D21DD9"/>
    <w:rsid w:val="64650AB8"/>
    <w:rsid w:val="661C0E36"/>
    <w:rsid w:val="66997B34"/>
    <w:rsid w:val="683C0349"/>
    <w:rsid w:val="6ACB512F"/>
    <w:rsid w:val="6C89053E"/>
    <w:rsid w:val="6D7736F8"/>
    <w:rsid w:val="6E0E4543"/>
    <w:rsid w:val="71FE78E1"/>
    <w:rsid w:val="736F6F1E"/>
    <w:rsid w:val="76B35FD9"/>
    <w:rsid w:val="7754049F"/>
    <w:rsid w:val="776D6C4D"/>
    <w:rsid w:val="794A4029"/>
    <w:rsid w:val="7999426A"/>
    <w:rsid w:val="7AA00713"/>
    <w:rsid w:val="7B291C15"/>
    <w:rsid w:val="7B375640"/>
    <w:rsid w:val="7BBA203D"/>
    <w:rsid w:val="7DAE5E18"/>
    <w:rsid w:val="7ED7EA37"/>
    <w:rsid w:val="7F6D04E9"/>
    <w:rsid w:val="7F7F43AA"/>
    <w:rsid w:val="7FCEFB58"/>
    <w:rsid w:val="7FDCA75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33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6033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6033D"/>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semiHidden/>
    <w:qFormat/>
    <w:rsid w:val="0086033D"/>
    <w:rPr>
      <w:sz w:val="18"/>
      <w:szCs w:val="18"/>
    </w:rPr>
  </w:style>
  <w:style w:type="character" w:customStyle="1" w:styleId="Char0">
    <w:name w:val="页眉 Char"/>
    <w:basedOn w:val="a0"/>
    <w:link w:val="a4"/>
    <w:uiPriority w:val="99"/>
    <w:semiHidden/>
    <w:qFormat/>
    <w:rsid w:val="0086033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cp:lastModifiedBy>
  <cp:revision>52</cp:revision>
  <dcterms:created xsi:type="dcterms:W3CDTF">2021-03-03T17:33:00Z</dcterms:created>
  <dcterms:modified xsi:type="dcterms:W3CDTF">2022-05-30T06:59:00Z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2A40BB491B89419EA009903A641B4E97</vt:lpwstr>
  </property>
</Properties>
</file>